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4E" w:rsidRDefault="006B103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证券代码：000655         证券简称：金岭矿业       公告编号：2021-0</w:t>
      </w:r>
      <w:r w:rsidR="00591BE1">
        <w:rPr>
          <w:rFonts w:hint="eastAsia"/>
          <w:b/>
          <w:sz w:val="24"/>
        </w:rPr>
        <w:t>49</w:t>
      </w:r>
    </w:p>
    <w:p w:rsidR="008D1D4E" w:rsidRDefault="006B1038">
      <w:pPr>
        <w:spacing w:line="360" w:lineRule="auto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山东金岭矿业股份有限公司</w:t>
      </w:r>
    </w:p>
    <w:p w:rsidR="008D1D4E" w:rsidRDefault="006B1038">
      <w:pPr>
        <w:spacing w:line="360" w:lineRule="auto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202</w:t>
      </w:r>
      <w:r w:rsidR="00591BE1">
        <w:rPr>
          <w:rFonts w:hint="eastAsia"/>
          <w:b/>
          <w:color w:val="FF0000"/>
          <w:sz w:val="32"/>
          <w:szCs w:val="32"/>
        </w:rPr>
        <w:t>1</w:t>
      </w:r>
      <w:r>
        <w:rPr>
          <w:rFonts w:hint="eastAsia"/>
          <w:b/>
          <w:color w:val="FF0000"/>
          <w:sz w:val="32"/>
          <w:szCs w:val="32"/>
        </w:rPr>
        <w:t>年</w:t>
      </w:r>
      <w:r w:rsidR="00591BE1">
        <w:rPr>
          <w:rFonts w:hint="eastAsia"/>
          <w:b/>
          <w:color w:val="FF0000"/>
          <w:sz w:val="32"/>
          <w:szCs w:val="32"/>
        </w:rPr>
        <w:t>半年</w:t>
      </w:r>
      <w:r>
        <w:rPr>
          <w:rFonts w:hint="eastAsia"/>
          <w:b/>
          <w:color w:val="FF0000"/>
          <w:sz w:val="32"/>
          <w:szCs w:val="32"/>
        </w:rPr>
        <w:t>度业绩预告</w:t>
      </w:r>
    </w:p>
    <w:p w:rsidR="008D1D4E" w:rsidRDefault="006B1038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9" w:color="auto"/>
        </w:pBd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本公司及董事会全体成员保证信息披露的内容真实、准确、完整，没有虚假记载、误导性陈述或重大遗漏。</w:t>
      </w:r>
    </w:p>
    <w:p w:rsidR="008D1D4E" w:rsidRDefault="006B1038">
      <w:pPr>
        <w:tabs>
          <w:tab w:val="left" w:pos="3240"/>
        </w:tabs>
        <w:spacing w:line="360" w:lineRule="auto"/>
        <w:ind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一、本期业绩预计情况</w:t>
      </w:r>
    </w:p>
    <w:p w:rsidR="008D1D4E" w:rsidRDefault="006B1038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1.业绩预告期间：202</w:t>
      </w:r>
      <w:r w:rsidR="00591BE1">
        <w:rPr>
          <w:rFonts w:hint="eastAsia"/>
          <w:sz w:val="24"/>
        </w:rPr>
        <w:t>1</w:t>
      </w:r>
      <w:r>
        <w:rPr>
          <w:rFonts w:hint="eastAsia"/>
          <w:sz w:val="24"/>
        </w:rPr>
        <w:t>年1月1日至202</w:t>
      </w:r>
      <w:r w:rsidR="00591BE1">
        <w:rPr>
          <w:rFonts w:hint="eastAsia"/>
          <w:sz w:val="24"/>
        </w:rPr>
        <w:t>1</w:t>
      </w:r>
      <w:r>
        <w:rPr>
          <w:rFonts w:hint="eastAsia"/>
          <w:sz w:val="24"/>
        </w:rPr>
        <w:t>年</w:t>
      </w:r>
      <w:r w:rsidR="00591BE1">
        <w:rPr>
          <w:rFonts w:hint="eastAsia"/>
          <w:sz w:val="24"/>
        </w:rPr>
        <w:t>6</w:t>
      </w:r>
      <w:r>
        <w:rPr>
          <w:rFonts w:hint="eastAsia"/>
          <w:sz w:val="24"/>
        </w:rPr>
        <w:t>月3</w:t>
      </w:r>
      <w:r w:rsidR="00591BE1">
        <w:rPr>
          <w:rFonts w:hint="eastAsia"/>
          <w:sz w:val="24"/>
        </w:rPr>
        <w:t>0</w:t>
      </w:r>
      <w:r>
        <w:rPr>
          <w:rFonts w:hint="eastAsia"/>
          <w:sz w:val="24"/>
        </w:rPr>
        <w:t>日</w:t>
      </w:r>
    </w:p>
    <w:p w:rsidR="008D1D4E" w:rsidRDefault="006B1038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2.预计的业绩：</w:t>
      </w:r>
      <w:r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 xml:space="preserve">亏损  </w:t>
      </w:r>
      <w:r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 xml:space="preserve">扭亏为盈  </w:t>
      </w:r>
      <w:r>
        <w:rPr>
          <w:rFonts w:hint="eastAsia"/>
          <w:sz w:val="24"/>
        </w:rPr>
        <w:sym w:font="Wingdings" w:char="F0FE"/>
      </w:r>
      <w:r>
        <w:rPr>
          <w:rFonts w:hint="eastAsia"/>
          <w:sz w:val="24"/>
        </w:rPr>
        <w:t xml:space="preserve">同向上升  </w:t>
      </w:r>
      <w:r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>同向下降</w:t>
      </w:r>
    </w:p>
    <w:tbl>
      <w:tblPr>
        <w:tblpPr w:leftFromText="180" w:rightFromText="180" w:vertAnchor="text" w:horzAnchor="page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3402"/>
        <w:gridCol w:w="1737"/>
      </w:tblGrid>
      <w:tr w:rsidR="008D1D4E" w:rsidTr="004210A3">
        <w:trPr>
          <w:trHeight w:val="5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4E" w:rsidRDefault="006B1038">
            <w:pPr>
              <w:tabs>
                <w:tab w:val="left" w:pos="324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4E" w:rsidRDefault="006B1038">
            <w:pPr>
              <w:tabs>
                <w:tab w:val="left" w:pos="324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本报告期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4E" w:rsidRDefault="006B1038">
            <w:pPr>
              <w:tabs>
                <w:tab w:val="left" w:pos="324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上年同期</w:t>
            </w:r>
          </w:p>
        </w:tc>
      </w:tr>
      <w:tr w:rsidR="008D1D4E" w:rsidTr="004210A3">
        <w:trPr>
          <w:trHeight w:val="48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D4E" w:rsidRDefault="006B1038">
            <w:pPr>
              <w:tabs>
                <w:tab w:val="left" w:pos="3240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归属于上市公司股东的净利润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D4E" w:rsidRDefault="006B1038" w:rsidP="00395859">
            <w:pPr>
              <w:tabs>
                <w:tab w:val="left" w:pos="3240"/>
              </w:tabs>
              <w:spacing w:line="360" w:lineRule="auto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盈利：</w:t>
            </w:r>
            <w:r w:rsidR="00395859">
              <w:rPr>
                <w:rFonts w:hint="eastAsia"/>
                <w:sz w:val="18"/>
                <w:szCs w:val="18"/>
              </w:rPr>
              <w:t>22</w:t>
            </w:r>
            <w:r w:rsidR="00293904">
              <w:rPr>
                <w:rFonts w:hint="eastAsia"/>
                <w:sz w:val="18"/>
                <w:szCs w:val="18"/>
              </w:rPr>
              <w:t>,</w:t>
            </w:r>
            <w:r w:rsidR="00395859">
              <w:rPr>
                <w:rFonts w:hint="eastAsia"/>
                <w:sz w:val="18"/>
                <w:szCs w:val="18"/>
              </w:rPr>
              <w:t>000</w:t>
            </w:r>
            <w:r>
              <w:rPr>
                <w:rFonts w:hint="eastAsia"/>
                <w:sz w:val="18"/>
                <w:szCs w:val="18"/>
              </w:rPr>
              <w:t>万元-2</w:t>
            </w:r>
            <w:r w:rsidR="00395859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,000万元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D4E" w:rsidRDefault="006B1038" w:rsidP="00FA3F6A">
            <w:pPr>
              <w:tabs>
                <w:tab w:val="left" w:pos="324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盈利：</w:t>
            </w:r>
            <w:r w:rsidR="00FA3F6A">
              <w:rPr>
                <w:rFonts w:hint="eastAsia"/>
                <w:sz w:val="18"/>
                <w:szCs w:val="18"/>
              </w:rPr>
              <w:t>12</w:t>
            </w:r>
            <w:r w:rsidR="00395859">
              <w:rPr>
                <w:rFonts w:hint="eastAsia"/>
                <w:sz w:val="18"/>
                <w:szCs w:val="18"/>
              </w:rPr>
              <w:t>,</w:t>
            </w:r>
            <w:r w:rsidR="00FA3F6A">
              <w:rPr>
                <w:rFonts w:hint="eastAsia"/>
                <w:sz w:val="18"/>
                <w:szCs w:val="18"/>
              </w:rPr>
              <w:t>548</w:t>
            </w:r>
            <w:r>
              <w:rPr>
                <w:rFonts w:hint="eastAsia"/>
                <w:sz w:val="18"/>
                <w:szCs w:val="18"/>
              </w:rPr>
              <w:t>万元</w:t>
            </w:r>
          </w:p>
        </w:tc>
      </w:tr>
      <w:tr w:rsidR="008D1D4E" w:rsidTr="004210A3">
        <w:trPr>
          <w:trHeight w:val="441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D4E" w:rsidRDefault="008D1D4E">
            <w:pPr>
              <w:tabs>
                <w:tab w:val="left" w:pos="3240"/>
              </w:tabs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D4E" w:rsidRDefault="006B1038" w:rsidP="00395859">
            <w:pPr>
              <w:tabs>
                <w:tab w:val="left" w:pos="3240"/>
              </w:tabs>
              <w:spacing w:line="360" w:lineRule="auto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比上年同期增长：</w:t>
            </w:r>
            <w:r w:rsidR="00395859">
              <w:rPr>
                <w:rFonts w:hint="eastAsia"/>
                <w:sz w:val="18"/>
                <w:szCs w:val="18"/>
              </w:rPr>
              <w:t>75.33</w:t>
            </w:r>
            <w:r>
              <w:rPr>
                <w:rFonts w:hint="eastAsia"/>
                <w:sz w:val="18"/>
                <w:szCs w:val="18"/>
              </w:rPr>
              <w:t>%-</w:t>
            </w:r>
            <w:r w:rsidR="00395859">
              <w:rPr>
                <w:rFonts w:hint="eastAsia"/>
                <w:sz w:val="18"/>
                <w:szCs w:val="18"/>
              </w:rPr>
              <w:t>123.14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D4E" w:rsidRDefault="008D1D4E">
            <w:pPr>
              <w:tabs>
                <w:tab w:val="left" w:pos="3240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D1D4E" w:rsidTr="004210A3">
        <w:trPr>
          <w:trHeight w:val="37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D4E" w:rsidRDefault="004210A3">
            <w:pPr>
              <w:tabs>
                <w:tab w:val="left" w:pos="3240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归属于上市公司股东的</w:t>
            </w:r>
            <w:r w:rsidR="006B1038">
              <w:rPr>
                <w:rFonts w:hint="eastAsia"/>
                <w:sz w:val="21"/>
                <w:szCs w:val="21"/>
              </w:rPr>
              <w:t>扣除非经常性损益后的净利润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4E" w:rsidRDefault="006B1038" w:rsidP="004210A3">
            <w:pPr>
              <w:tabs>
                <w:tab w:val="left" w:pos="3240"/>
              </w:tabs>
              <w:spacing w:line="360" w:lineRule="auto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盈利：</w:t>
            </w:r>
            <w:r w:rsidR="00395859">
              <w:rPr>
                <w:rFonts w:hint="eastAsia"/>
                <w:sz w:val="18"/>
                <w:szCs w:val="18"/>
              </w:rPr>
              <w:t>21</w:t>
            </w:r>
            <w:r w:rsidR="00293904">
              <w:rPr>
                <w:rFonts w:hint="eastAsia"/>
                <w:sz w:val="18"/>
                <w:szCs w:val="18"/>
              </w:rPr>
              <w:t>,</w:t>
            </w:r>
            <w:r w:rsidR="004210A3">
              <w:rPr>
                <w:rFonts w:hint="eastAsia"/>
                <w:sz w:val="18"/>
                <w:szCs w:val="18"/>
              </w:rPr>
              <w:t>8</w:t>
            </w:r>
            <w:r w:rsidR="00395859">
              <w:rPr>
                <w:rFonts w:hint="eastAsia"/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万元–</w:t>
            </w:r>
            <w:r w:rsidR="00395859">
              <w:rPr>
                <w:rFonts w:hint="eastAsia"/>
                <w:sz w:val="18"/>
                <w:szCs w:val="18"/>
              </w:rPr>
              <w:t>27</w:t>
            </w:r>
            <w:r w:rsidR="00293904">
              <w:rPr>
                <w:rFonts w:hint="eastAsia"/>
                <w:sz w:val="18"/>
                <w:szCs w:val="18"/>
              </w:rPr>
              <w:t>,</w:t>
            </w:r>
            <w:r w:rsidR="004210A3">
              <w:rPr>
                <w:rFonts w:hint="eastAsia"/>
                <w:sz w:val="18"/>
                <w:szCs w:val="18"/>
              </w:rPr>
              <w:t>8</w:t>
            </w:r>
            <w:r w:rsidR="00395859">
              <w:rPr>
                <w:rFonts w:hint="eastAsia"/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万元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D4E" w:rsidRDefault="006B1038" w:rsidP="00FA3F6A">
            <w:pPr>
              <w:tabs>
                <w:tab w:val="left" w:pos="324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盈利：</w:t>
            </w:r>
            <w:r w:rsidR="00FA3F6A">
              <w:rPr>
                <w:rFonts w:hint="eastAsia"/>
                <w:sz w:val="18"/>
                <w:szCs w:val="18"/>
              </w:rPr>
              <w:t>12</w:t>
            </w:r>
            <w:r w:rsidR="00395859">
              <w:rPr>
                <w:rFonts w:hint="eastAsia"/>
                <w:sz w:val="18"/>
                <w:szCs w:val="18"/>
              </w:rPr>
              <w:t>,</w:t>
            </w:r>
            <w:r w:rsidR="00FA3F6A">
              <w:rPr>
                <w:rFonts w:hint="eastAsia"/>
                <w:sz w:val="18"/>
                <w:szCs w:val="18"/>
              </w:rPr>
              <w:t>326</w:t>
            </w:r>
            <w:r>
              <w:rPr>
                <w:rFonts w:hint="eastAsia"/>
                <w:sz w:val="18"/>
                <w:szCs w:val="18"/>
              </w:rPr>
              <w:t>万元</w:t>
            </w:r>
          </w:p>
        </w:tc>
      </w:tr>
      <w:tr w:rsidR="008D1D4E" w:rsidTr="004210A3">
        <w:trPr>
          <w:trHeight w:val="37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4E" w:rsidRDefault="008D1D4E">
            <w:pPr>
              <w:tabs>
                <w:tab w:val="left" w:pos="3240"/>
              </w:tabs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4E" w:rsidRDefault="006B1038" w:rsidP="001113AE">
            <w:pPr>
              <w:tabs>
                <w:tab w:val="left" w:pos="3240"/>
              </w:tabs>
              <w:spacing w:line="360" w:lineRule="auto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比上年同期增长</w:t>
            </w:r>
            <w:r>
              <w:rPr>
                <w:sz w:val="18"/>
                <w:szCs w:val="18"/>
              </w:rPr>
              <w:t>：</w:t>
            </w:r>
            <w:r w:rsidR="001113AE">
              <w:rPr>
                <w:rFonts w:hint="eastAsia"/>
                <w:sz w:val="18"/>
                <w:szCs w:val="18"/>
              </w:rPr>
              <w:t>76.86</w:t>
            </w:r>
            <w:r>
              <w:rPr>
                <w:sz w:val="18"/>
                <w:szCs w:val="18"/>
              </w:rPr>
              <w:t>%-</w:t>
            </w:r>
            <w:r w:rsidR="00395859">
              <w:rPr>
                <w:rFonts w:hint="eastAsia"/>
                <w:sz w:val="18"/>
                <w:szCs w:val="18"/>
              </w:rPr>
              <w:t>12</w:t>
            </w:r>
            <w:r w:rsidR="001113AE">
              <w:rPr>
                <w:rFonts w:hint="eastAsia"/>
                <w:sz w:val="18"/>
                <w:szCs w:val="18"/>
              </w:rPr>
              <w:t>5.54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4E" w:rsidRDefault="008D1D4E">
            <w:pPr>
              <w:tabs>
                <w:tab w:val="left" w:pos="3240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D1D4E" w:rsidTr="004210A3">
        <w:trPr>
          <w:trHeight w:val="7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4E" w:rsidRDefault="006B1038">
            <w:pPr>
              <w:tabs>
                <w:tab w:val="left" w:pos="3240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基本每股收益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4E" w:rsidRDefault="006B1038" w:rsidP="00395859">
            <w:pPr>
              <w:tabs>
                <w:tab w:val="left" w:pos="3240"/>
              </w:tabs>
              <w:spacing w:line="360" w:lineRule="auto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盈利：</w:t>
            </w:r>
            <w:r w:rsidR="00395859">
              <w:rPr>
                <w:rFonts w:hint="eastAsia"/>
                <w:sz w:val="18"/>
                <w:szCs w:val="18"/>
              </w:rPr>
              <w:t>0.370</w:t>
            </w:r>
            <w:r>
              <w:rPr>
                <w:rFonts w:hint="eastAsia"/>
                <w:sz w:val="18"/>
                <w:szCs w:val="18"/>
              </w:rPr>
              <w:t>元/股-0.4</w:t>
            </w:r>
            <w:r w:rsidR="00395859">
              <w:rPr>
                <w:rFonts w:hint="eastAsia"/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元/股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4E" w:rsidRDefault="006B1038" w:rsidP="00FA3F6A">
            <w:pPr>
              <w:tabs>
                <w:tab w:val="left" w:pos="324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盈利：0.</w:t>
            </w:r>
            <w:r w:rsidR="00FA3F6A">
              <w:rPr>
                <w:rFonts w:hint="eastAsia"/>
                <w:sz w:val="18"/>
                <w:szCs w:val="18"/>
              </w:rPr>
              <w:t>211</w:t>
            </w:r>
            <w:r>
              <w:rPr>
                <w:rFonts w:hint="eastAsia"/>
                <w:sz w:val="18"/>
                <w:szCs w:val="18"/>
              </w:rPr>
              <w:t>元/股</w:t>
            </w:r>
          </w:p>
        </w:tc>
      </w:tr>
    </w:tbl>
    <w:p w:rsidR="008D1D4E" w:rsidRDefault="006B1038">
      <w:pPr>
        <w:tabs>
          <w:tab w:val="left" w:pos="3240"/>
        </w:tabs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二、业绩预告预审计情况</w:t>
      </w:r>
    </w:p>
    <w:p w:rsidR="008D1D4E" w:rsidRDefault="006B1038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本次业绩预告未经过注册会计师审计。</w:t>
      </w:r>
    </w:p>
    <w:p w:rsidR="008D1D4E" w:rsidRDefault="006B1038">
      <w:pPr>
        <w:tabs>
          <w:tab w:val="left" w:pos="3240"/>
        </w:tabs>
        <w:spacing w:line="360" w:lineRule="auto"/>
        <w:ind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三、业绩变动原因说明</w:t>
      </w:r>
    </w:p>
    <w:p w:rsidR="008D1D4E" w:rsidRPr="008474FF" w:rsidRDefault="006B1038" w:rsidP="00B7491B">
      <w:pPr>
        <w:pStyle w:val="a3"/>
        <w:snapToGrid w:val="0"/>
        <w:spacing w:after="0" w:line="360" w:lineRule="auto"/>
        <w:ind w:leftChars="0" w:left="0" w:firstLineChars="196" w:firstLine="47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517CE0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年</w:t>
      </w:r>
      <w:r w:rsidR="00517CE0">
        <w:rPr>
          <w:rFonts w:ascii="宋体" w:hAnsi="宋体" w:hint="eastAsia"/>
          <w:sz w:val="24"/>
        </w:rPr>
        <w:t>半年</w:t>
      </w:r>
      <w:r>
        <w:rPr>
          <w:rFonts w:ascii="宋体" w:hAnsi="宋体" w:hint="eastAsia"/>
          <w:sz w:val="24"/>
        </w:rPr>
        <w:t>度公司业绩实现同向上升的主要原因：</w:t>
      </w:r>
      <w:r w:rsidR="00B7491B">
        <w:rPr>
          <w:rFonts w:ascii="宋体" w:hAnsi="宋体" w:hint="eastAsia"/>
          <w:sz w:val="24"/>
        </w:rPr>
        <w:t>一是</w:t>
      </w:r>
      <w:r w:rsidR="00517CE0" w:rsidRPr="008474FF">
        <w:rPr>
          <w:rFonts w:ascii="宋体" w:hAnsi="宋体" w:hint="eastAsia"/>
          <w:sz w:val="24"/>
        </w:rPr>
        <w:t>本期</w:t>
      </w:r>
      <w:r w:rsidRPr="008474FF">
        <w:rPr>
          <w:rFonts w:ascii="宋体" w:hAnsi="宋体" w:hint="eastAsia"/>
          <w:sz w:val="24"/>
        </w:rPr>
        <w:t>母</w:t>
      </w:r>
      <w:r w:rsidRPr="008474FF">
        <w:rPr>
          <w:rFonts w:ascii="宋体" w:hAnsi="宋体"/>
          <w:sz w:val="24"/>
        </w:rPr>
        <w:t>公司主要产品销售价格较上年同期上升</w:t>
      </w:r>
      <w:r w:rsidR="008474FF" w:rsidRPr="008474FF">
        <w:rPr>
          <w:rFonts w:ascii="宋体" w:hAnsi="宋体"/>
          <w:sz w:val="24"/>
        </w:rPr>
        <w:t>；</w:t>
      </w:r>
      <w:r w:rsidR="00B7491B">
        <w:rPr>
          <w:rFonts w:ascii="宋体" w:hAnsi="宋体"/>
          <w:sz w:val="24"/>
        </w:rPr>
        <w:t>二是</w:t>
      </w:r>
      <w:r w:rsidR="008474FF" w:rsidRPr="008474FF">
        <w:rPr>
          <w:rFonts w:ascii="宋体" w:hAnsi="宋体" w:hint="eastAsia"/>
          <w:sz w:val="24"/>
        </w:rPr>
        <w:t>本期</w:t>
      </w:r>
      <w:r w:rsidRPr="008474FF">
        <w:rPr>
          <w:rFonts w:ascii="宋体" w:hAnsi="宋体" w:hint="eastAsia"/>
          <w:sz w:val="24"/>
        </w:rPr>
        <w:t>子公司喀什球团主要产品销售价格及</w:t>
      </w:r>
      <w:r w:rsidR="00395859" w:rsidRPr="008474FF">
        <w:rPr>
          <w:rFonts w:ascii="宋体" w:hAnsi="宋体" w:hint="eastAsia"/>
          <w:sz w:val="24"/>
        </w:rPr>
        <w:t>销量</w:t>
      </w:r>
      <w:r w:rsidRPr="008474FF">
        <w:rPr>
          <w:rFonts w:ascii="宋体" w:hAnsi="宋体" w:hint="eastAsia"/>
          <w:sz w:val="24"/>
        </w:rPr>
        <w:t>较上年同期上升</w:t>
      </w:r>
      <w:bookmarkStart w:id="0" w:name="_GoBack"/>
      <w:bookmarkEnd w:id="0"/>
      <w:r w:rsidRPr="008474FF">
        <w:rPr>
          <w:rFonts w:ascii="宋体" w:hAnsi="宋体"/>
          <w:sz w:val="24"/>
        </w:rPr>
        <w:t>；</w:t>
      </w:r>
      <w:r w:rsidR="00B7491B">
        <w:rPr>
          <w:rFonts w:ascii="宋体" w:hAnsi="宋体"/>
          <w:sz w:val="24"/>
        </w:rPr>
        <w:t>三是</w:t>
      </w:r>
      <w:r w:rsidR="00517CE0" w:rsidRPr="008474FF">
        <w:rPr>
          <w:rFonts w:ascii="宋体" w:hAnsi="宋体"/>
          <w:sz w:val="24"/>
        </w:rPr>
        <w:t>本期</w:t>
      </w:r>
      <w:r w:rsidRPr="008474FF">
        <w:rPr>
          <w:rFonts w:ascii="宋体" w:hAnsi="宋体" w:hint="eastAsia"/>
          <w:sz w:val="24"/>
        </w:rPr>
        <w:t>公司</w:t>
      </w:r>
      <w:r w:rsidRPr="008474FF">
        <w:rPr>
          <w:rFonts w:ascii="宋体" w:hAnsi="宋体"/>
          <w:sz w:val="24"/>
        </w:rPr>
        <w:t>投资收益较上年同期增加</w:t>
      </w:r>
      <w:r w:rsidRPr="008474FF">
        <w:rPr>
          <w:rFonts w:ascii="宋体" w:hAnsi="宋体" w:hint="eastAsia"/>
          <w:sz w:val="24"/>
        </w:rPr>
        <w:t>。</w:t>
      </w:r>
    </w:p>
    <w:p w:rsidR="008D1D4E" w:rsidRDefault="006B1038">
      <w:pPr>
        <w:pStyle w:val="a3"/>
        <w:snapToGrid w:val="0"/>
        <w:spacing w:after="0" w:line="360" w:lineRule="auto"/>
        <w:ind w:leftChars="0" w:left="0"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四、其他相关说明</w:t>
      </w:r>
    </w:p>
    <w:p w:rsidR="008D1D4E" w:rsidRDefault="006B1038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 xml:space="preserve">1．本次业绩预告是公司财务部门初步测算的结果，未经审计机构审计。 </w:t>
      </w:r>
    </w:p>
    <w:p w:rsidR="008D1D4E" w:rsidRDefault="006B1038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2．</w:t>
      </w:r>
      <w:r w:rsidR="00395859">
        <w:rPr>
          <w:rFonts w:hint="eastAsia"/>
          <w:sz w:val="24"/>
        </w:rPr>
        <w:t xml:space="preserve"> </w:t>
      </w:r>
      <w:r>
        <w:rPr>
          <w:sz w:val="24"/>
        </w:rPr>
        <w:t>202</w:t>
      </w:r>
      <w:r w:rsidR="00517CE0">
        <w:rPr>
          <w:rFonts w:hint="eastAsia"/>
          <w:sz w:val="24"/>
        </w:rPr>
        <w:t>1</w:t>
      </w:r>
      <w:r>
        <w:rPr>
          <w:sz w:val="24"/>
        </w:rPr>
        <w:t>年</w:t>
      </w:r>
      <w:r w:rsidR="00517CE0">
        <w:rPr>
          <w:sz w:val="24"/>
        </w:rPr>
        <w:t>半年</w:t>
      </w:r>
      <w:r>
        <w:rPr>
          <w:sz w:val="24"/>
        </w:rPr>
        <w:t>度业绩具体的财务数据将在202</w:t>
      </w:r>
      <w:r w:rsidR="00517CE0">
        <w:rPr>
          <w:rFonts w:hint="eastAsia"/>
          <w:sz w:val="24"/>
        </w:rPr>
        <w:t>1</w:t>
      </w:r>
      <w:r>
        <w:rPr>
          <w:sz w:val="24"/>
        </w:rPr>
        <w:t>年</w:t>
      </w:r>
      <w:r w:rsidR="00517CE0">
        <w:rPr>
          <w:sz w:val="24"/>
        </w:rPr>
        <w:t>半年</w:t>
      </w:r>
      <w:r>
        <w:rPr>
          <w:sz w:val="24"/>
        </w:rPr>
        <w:t>度报告中详</w:t>
      </w:r>
      <w:r>
        <w:rPr>
          <w:rFonts w:hint="eastAsia"/>
          <w:sz w:val="24"/>
        </w:rPr>
        <w:t>细披露，敬请广大投资者注意投资风险。</w:t>
      </w:r>
    </w:p>
    <w:p w:rsidR="00293904" w:rsidRDefault="00293904">
      <w:pPr>
        <w:pStyle w:val="a3"/>
        <w:snapToGrid w:val="0"/>
        <w:spacing w:after="0" w:line="360" w:lineRule="auto"/>
        <w:ind w:leftChars="0" w:left="0" w:firstLineChars="225" w:firstLine="540"/>
        <w:rPr>
          <w:rFonts w:ascii="宋体" w:hAnsi="宋体"/>
          <w:sz w:val="24"/>
        </w:rPr>
      </w:pPr>
    </w:p>
    <w:p w:rsidR="008D1D4E" w:rsidRDefault="006B1038">
      <w:pPr>
        <w:pStyle w:val="a3"/>
        <w:snapToGrid w:val="0"/>
        <w:spacing w:after="0" w:line="360" w:lineRule="auto"/>
        <w:ind w:leftChars="0" w:left="0"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293904" w:rsidRDefault="00293904">
      <w:pPr>
        <w:pStyle w:val="a3"/>
        <w:snapToGrid w:val="0"/>
        <w:spacing w:after="0" w:line="360" w:lineRule="auto"/>
        <w:ind w:leftChars="0" w:left="0" w:firstLineChars="225" w:firstLine="540"/>
        <w:rPr>
          <w:rFonts w:ascii="宋体" w:hAnsi="宋体"/>
          <w:sz w:val="24"/>
        </w:rPr>
      </w:pPr>
    </w:p>
    <w:p w:rsidR="008D1D4E" w:rsidRDefault="006B1038">
      <w:pPr>
        <w:pStyle w:val="a3"/>
        <w:snapToGrid w:val="0"/>
        <w:spacing w:after="0" w:line="360" w:lineRule="auto"/>
        <w:ind w:left="560" w:firstLineChars="1950" w:firstLine="4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山东金岭矿业股份有限公司</w:t>
      </w:r>
    </w:p>
    <w:p w:rsidR="008D1D4E" w:rsidRDefault="006B1038">
      <w:pPr>
        <w:pStyle w:val="a3"/>
        <w:snapToGrid w:val="0"/>
        <w:spacing w:after="0" w:line="360" w:lineRule="auto"/>
        <w:ind w:left="560"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董事会</w:t>
      </w:r>
    </w:p>
    <w:p w:rsidR="008D1D4E" w:rsidRDefault="006B1038">
      <w:pPr>
        <w:pStyle w:val="a3"/>
        <w:snapToGrid w:val="0"/>
        <w:spacing w:after="0" w:line="360" w:lineRule="auto"/>
        <w:ind w:left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2021年</w:t>
      </w:r>
      <w:r w:rsidR="00517CE0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月</w:t>
      </w:r>
      <w:r w:rsidR="00962311"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日</w:t>
      </w:r>
    </w:p>
    <w:sectPr w:rsidR="008D1D4E" w:rsidSect="008D1D4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D6" w:rsidRDefault="00766BD6" w:rsidP="008D1D4E">
      <w:r>
        <w:separator/>
      </w:r>
    </w:p>
  </w:endnote>
  <w:endnote w:type="continuationSeparator" w:id="0">
    <w:p w:rsidR="00766BD6" w:rsidRDefault="00766BD6" w:rsidP="008D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D6" w:rsidRDefault="00766BD6" w:rsidP="008D1D4E">
      <w:r>
        <w:separator/>
      </w:r>
    </w:p>
  </w:footnote>
  <w:footnote w:type="continuationSeparator" w:id="0">
    <w:p w:rsidR="00766BD6" w:rsidRDefault="00766BD6" w:rsidP="008D1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4E" w:rsidRDefault="006B1038">
    <w:pPr>
      <w:pStyle w:val="a6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-48895</wp:posOffset>
          </wp:positionV>
          <wp:extent cx="1600200" cy="219075"/>
          <wp:effectExtent l="0" t="0" r="0" b="9525"/>
          <wp:wrapTight wrapText="bothSides">
            <wp:wrapPolygon edited="0">
              <wp:start x="0" y="0"/>
              <wp:lineTo x="0" y="20661"/>
              <wp:lineTo x="21343" y="20661"/>
              <wp:lineTo x="21343" y="0"/>
              <wp:lineTo x="0" y="0"/>
            </wp:wrapPolygon>
          </wp:wrapTight>
          <wp:docPr id="2" name="图片 1" descr="公司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公司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董事会公告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D58"/>
    <w:multiLevelType w:val="hybridMultilevel"/>
    <w:tmpl w:val="25C677C4"/>
    <w:lvl w:ilvl="0" w:tplc="67EC2D46">
      <w:start w:val="1"/>
      <w:numFmt w:val="japaneseCounting"/>
      <w:lvlText w:val="%1、"/>
      <w:lvlJc w:val="left"/>
      <w:pPr>
        <w:ind w:left="95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7A3351AB"/>
    <w:multiLevelType w:val="hybridMultilevel"/>
    <w:tmpl w:val="2306F994"/>
    <w:lvl w:ilvl="0" w:tplc="79D42FE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811"/>
    <w:rsid w:val="00013B38"/>
    <w:rsid w:val="000236DF"/>
    <w:rsid w:val="00042D60"/>
    <w:rsid w:val="00051634"/>
    <w:rsid w:val="0005626C"/>
    <w:rsid w:val="00062072"/>
    <w:rsid w:val="00094137"/>
    <w:rsid w:val="000C5932"/>
    <w:rsid w:val="000E559E"/>
    <w:rsid w:val="000F57CA"/>
    <w:rsid w:val="00104FA4"/>
    <w:rsid w:val="00107B0B"/>
    <w:rsid w:val="001113AE"/>
    <w:rsid w:val="00112FA0"/>
    <w:rsid w:val="00131C41"/>
    <w:rsid w:val="0014330E"/>
    <w:rsid w:val="00165856"/>
    <w:rsid w:val="00174C95"/>
    <w:rsid w:val="00184EA2"/>
    <w:rsid w:val="00185B4D"/>
    <w:rsid w:val="00192E19"/>
    <w:rsid w:val="001A5076"/>
    <w:rsid w:val="001B7C1D"/>
    <w:rsid w:val="001D3811"/>
    <w:rsid w:val="001D4F33"/>
    <w:rsid w:val="001E7EDD"/>
    <w:rsid w:val="001F75D6"/>
    <w:rsid w:val="00215F2F"/>
    <w:rsid w:val="002407F2"/>
    <w:rsid w:val="00250FD1"/>
    <w:rsid w:val="00260176"/>
    <w:rsid w:val="00291860"/>
    <w:rsid w:val="00293904"/>
    <w:rsid w:val="002C0119"/>
    <w:rsid w:val="002C5450"/>
    <w:rsid w:val="002E3C20"/>
    <w:rsid w:val="002E6925"/>
    <w:rsid w:val="00301690"/>
    <w:rsid w:val="0030290E"/>
    <w:rsid w:val="00303695"/>
    <w:rsid w:val="00337E7A"/>
    <w:rsid w:val="0034485E"/>
    <w:rsid w:val="00357C3E"/>
    <w:rsid w:val="00395859"/>
    <w:rsid w:val="00395E4D"/>
    <w:rsid w:val="003A3C9C"/>
    <w:rsid w:val="003B48CC"/>
    <w:rsid w:val="003B4D1E"/>
    <w:rsid w:val="003E0131"/>
    <w:rsid w:val="00407978"/>
    <w:rsid w:val="004210A3"/>
    <w:rsid w:val="00433A1B"/>
    <w:rsid w:val="00452687"/>
    <w:rsid w:val="004635B8"/>
    <w:rsid w:val="0047451D"/>
    <w:rsid w:val="004A3061"/>
    <w:rsid w:val="004A5B2D"/>
    <w:rsid w:val="004A768C"/>
    <w:rsid w:val="004B2587"/>
    <w:rsid w:val="004D0965"/>
    <w:rsid w:val="004E31A6"/>
    <w:rsid w:val="005159C5"/>
    <w:rsid w:val="00517CE0"/>
    <w:rsid w:val="00546E46"/>
    <w:rsid w:val="00557639"/>
    <w:rsid w:val="005640AC"/>
    <w:rsid w:val="00591BE1"/>
    <w:rsid w:val="005B3E13"/>
    <w:rsid w:val="005B6685"/>
    <w:rsid w:val="005D261B"/>
    <w:rsid w:val="005D78CB"/>
    <w:rsid w:val="005E1AF3"/>
    <w:rsid w:val="005E20F1"/>
    <w:rsid w:val="006049AE"/>
    <w:rsid w:val="00623F4B"/>
    <w:rsid w:val="006256C4"/>
    <w:rsid w:val="00626BF5"/>
    <w:rsid w:val="00644674"/>
    <w:rsid w:val="00645D7B"/>
    <w:rsid w:val="00647D23"/>
    <w:rsid w:val="006606FA"/>
    <w:rsid w:val="00672DB9"/>
    <w:rsid w:val="006B1038"/>
    <w:rsid w:val="006B36D8"/>
    <w:rsid w:val="006E257E"/>
    <w:rsid w:val="0070450F"/>
    <w:rsid w:val="0071284B"/>
    <w:rsid w:val="00720889"/>
    <w:rsid w:val="00761943"/>
    <w:rsid w:val="00761DD3"/>
    <w:rsid w:val="0076585C"/>
    <w:rsid w:val="00766BD6"/>
    <w:rsid w:val="0078420C"/>
    <w:rsid w:val="00785D4C"/>
    <w:rsid w:val="007922B2"/>
    <w:rsid w:val="007938B2"/>
    <w:rsid w:val="007A44A5"/>
    <w:rsid w:val="007A79B3"/>
    <w:rsid w:val="007B1735"/>
    <w:rsid w:val="007D3703"/>
    <w:rsid w:val="007D4525"/>
    <w:rsid w:val="007F62C1"/>
    <w:rsid w:val="008424DB"/>
    <w:rsid w:val="008474FF"/>
    <w:rsid w:val="008A1EC5"/>
    <w:rsid w:val="008D1D4E"/>
    <w:rsid w:val="008E0B56"/>
    <w:rsid w:val="008E2F5B"/>
    <w:rsid w:val="009105C6"/>
    <w:rsid w:val="00911816"/>
    <w:rsid w:val="00915C30"/>
    <w:rsid w:val="009464EB"/>
    <w:rsid w:val="00962311"/>
    <w:rsid w:val="00963622"/>
    <w:rsid w:val="00972431"/>
    <w:rsid w:val="00975F73"/>
    <w:rsid w:val="009774B1"/>
    <w:rsid w:val="00977788"/>
    <w:rsid w:val="009A046E"/>
    <w:rsid w:val="009C42B1"/>
    <w:rsid w:val="009F2BE2"/>
    <w:rsid w:val="00A11574"/>
    <w:rsid w:val="00A20990"/>
    <w:rsid w:val="00A57B74"/>
    <w:rsid w:val="00A734F0"/>
    <w:rsid w:val="00A759DD"/>
    <w:rsid w:val="00A9795E"/>
    <w:rsid w:val="00AC45BD"/>
    <w:rsid w:val="00AF3FA9"/>
    <w:rsid w:val="00B0002B"/>
    <w:rsid w:val="00B02F63"/>
    <w:rsid w:val="00B30C60"/>
    <w:rsid w:val="00B37B77"/>
    <w:rsid w:val="00B5514F"/>
    <w:rsid w:val="00B7491B"/>
    <w:rsid w:val="00B75825"/>
    <w:rsid w:val="00B86A8F"/>
    <w:rsid w:val="00BA0999"/>
    <w:rsid w:val="00BB0FF1"/>
    <w:rsid w:val="00BC4312"/>
    <w:rsid w:val="00BC726E"/>
    <w:rsid w:val="00BE3003"/>
    <w:rsid w:val="00BE6939"/>
    <w:rsid w:val="00C12658"/>
    <w:rsid w:val="00C30770"/>
    <w:rsid w:val="00C44D2A"/>
    <w:rsid w:val="00C50280"/>
    <w:rsid w:val="00C82E5F"/>
    <w:rsid w:val="00CB0644"/>
    <w:rsid w:val="00CB72DD"/>
    <w:rsid w:val="00CD3640"/>
    <w:rsid w:val="00CD45F1"/>
    <w:rsid w:val="00CF0DAC"/>
    <w:rsid w:val="00D40E6F"/>
    <w:rsid w:val="00D51458"/>
    <w:rsid w:val="00D749C6"/>
    <w:rsid w:val="00D76DC9"/>
    <w:rsid w:val="00D86636"/>
    <w:rsid w:val="00D971F7"/>
    <w:rsid w:val="00DA301D"/>
    <w:rsid w:val="00E06D06"/>
    <w:rsid w:val="00E23224"/>
    <w:rsid w:val="00E7213C"/>
    <w:rsid w:val="00E751C7"/>
    <w:rsid w:val="00EB72D9"/>
    <w:rsid w:val="00ED6EB7"/>
    <w:rsid w:val="00EE4B39"/>
    <w:rsid w:val="00F46C93"/>
    <w:rsid w:val="00F87F1A"/>
    <w:rsid w:val="00F93B99"/>
    <w:rsid w:val="00FA3F6A"/>
    <w:rsid w:val="00FB2F24"/>
    <w:rsid w:val="00FC2D59"/>
    <w:rsid w:val="00FC3BC6"/>
    <w:rsid w:val="00FE1A74"/>
    <w:rsid w:val="00FE2FD3"/>
    <w:rsid w:val="00FE7B60"/>
    <w:rsid w:val="00FF3D6F"/>
    <w:rsid w:val="02131722"/>
    <w:rsid w:val="025C10FC"/>
    <w:rsid w:val="05F27C5E"/>
    <w:rsid w:val="06EA2F9C"/>
    <w:rsid w:val="06ED6F2E"/>
    <w:rsid w:val="09F14D57"/>
    <w:rsid w:val="18E45BD5"/>
    <w:rsid w:val="191022E1"/>
    <w:rsid w:val="1DF96F5E"/>
    <w:rsid w:val="1FB6489B"/>
    <w:rsid w:val="20EA3ADF"/>
    <w:rsid w:val="231244BB"/>
    <w:rsid w:val="27880030"/>
    <w:rsid w:val="37773ACF"/>
    <w:rsid w:val="47E92837"/>
    <w:rsid w:val="494370D3"/>
    <w:rsid w:val="49667234"/>
    <w:rsid w:val="4B7D5ABD"/>
    <w:rsid w:val="57F55D55"/>
    <w:rsid w:val="59C15652"/>
    <w:rsid w:val="5C007794"/>
    <w:rsid w:val="5D002063"/>
    <w:rsid w:val="61857A1C"/>
    <w:rsid w:val="6C04018E"/>
    <w:rsid w:val="6FE0403F"/>
    <w:rsid w:val="70F50651"/>
    <w:rsid w:val="732237DA"/>
    <w:rsid w:val="735E6A68"/>
    <w:rsid w:val="75014D70"/>
    <w:rsid w:val="773B5D18"/>
    <w:rsid w:val="78160259"/>
    <w:rsid w:val="7BAD1851"/>
    <w:rsid w:val="7BBA6F3C"/>
    <w:rsid w:val="7CE57929"/>
    <w:rsid w:val="7E28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4E"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D1D4E"/>
    <w:pPr>
      <w:spacing w:after="120"/>
      <w:ind w:leftChars="200" w:left="420"/>
    </w:pPr>
    <w:rPr>
      <w:rFonts w:ascii="Times New Roman" w:hAnsi="Times New Roman"/>
      <w:sz w:val="21"/>
    </w:rPr>
  </w:style>
  <w:style w:type="paragraph" w:styleId="a4">
    <w:name w:val="Balloon Text"/>
    <w:basedOn w:val="a"/>
    <w:link w:val="Char0"/>
    <w:uiPriority w:val="99"/>
    <w:semiHidden/>
    <w:unhideWhenUsed/>
    <w:rsid w:val="008D1D4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D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D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qFormat/>
    <w:rsid w:val="008D1D4E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link w:val="a6"/>
    <w:qFormat/>
    <w:rsid w:val="008D1D4E"/>
    <w:rPr>
      <w:rFonts w:ascii="宋体" w:eastAsia="宋体" w:hAnsi="宋体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1D4E"/>
    <w:rPr>
      <w:rFonts w:ascii="宋体" w:hAnsi="宋体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D1D4E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140</cp:revision>
  <cp:lastPrinted>2021-07-09T02:47:00Z</cp:lastPrinted>
  <dcterms:created xsi:type="dcterms:W3CDTF">2019-10-08T00:28:00Z</dcterms:created>
  <dcterms:modified xsi:type="dcterms:W3CDTF">2021-07-12T05:46:00Z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6D9E9D9468A74ADDAA2C74C9D00FD1BE</vt:lpwstr>
  </property>
</Properties>
</file>